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0E33" w:rsidRDefault="00260E33" w:rsidP="00260E33">
      <w:pPr>
        <w:autoSpaceDE w:val="0"/>
        <w:autoSpaceDN w:val="0"/>
        <w:adjustRightInd w:val="0"/>
        <w:ind w:right="-1445"/>
        <w:jc w:val="center"/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</w:pPr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ПРОТОКОЛ</w:t>
      </w:r>
    </w:p>
    <w:p w:rsidR="00260E33" w:rsidRDefault="00260E33" w:rsidP="00260E33">
      <w:pPr>
        <w:autoSpaceDE w:val="0"/>
        <w:autoSpaceDN w:val="0"/>
        <w:adjustRightInd w:val="0"/>
        <w:ind w:right="-1445"/>
        <w:jc w:val="center"/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річних</w:t>
      </w:r>
      <w:proofErr w:type="spellEnd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загальних</w:t>
      </w:r>
      <w:proofErr w:type="spellEnd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зборів</w:t>
      </w:r>
      <w:proofErr w:type="spellEnd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акціонерів</w:t>
      </w:r>
      <w:proofErr w:type="spellEnd"/>
    </w:p>
    <w:p w:rsidR="00260E33" w:rsidRDefault="00260E33" w:rsidP="00260E33">
      <w:pPr>
        <w:autoSpaceDE w:val="0"/>
        <w:autoSpaceDN w:val="0"/>
        <w:adjustRightInd w:val="0"/>
        <w:ind w:right="-1445"/>
        <w:jc w:val="center"/>
        <w:rPr>
          <w:rFonts w:ascii="Times-Roman" w:hAnsi="Times-Roman" w:cs="Times-Roman"/>
          <w:kern w:val="0"/>
          <w:sz w:val="26"/>
          <w:szCs w:val="26"/>
          <w:lang w:val="ru-RU"/>
        </w:rPr>
      </w:pPr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Приватного </w:t>
      </w: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акціонерного</w:t>
      </w:r>
      <w:proofErr w:type="spellEnd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>товариства</w:t>
      </w:r>
      <w:proofErr w:type="spellEnd"/>
      <w:r>
        <w:rPr>
          <w:rFonts w:ascii="Times-Bold" w:hAnsi="Times-Bold" w:cs="Times-Bold"/>
          <w:b/>
          <w:bCs/>
          <w:kern w:val="0"/>
          <w:sz w:val="26"/>
          <w:szCs w:val="26"/>
          <w:lang w:val="ru-RU"/>
        </w:rPr>
        <w:t xml:space="preserve"> «ДНІПРО МОТОР ІНВЕСТ»</w:t>
      </w:r>
    </w:p>
    <w:p w:rsidR="00260E33" w:rsidRDefault="00260E33" w:rsidP="00260E33">
      <w:pPr>
        <w:autoSpaceDE w:val="0"/>
        <w:autoSpaceDN w:val="0"/>
        <w:adjustRightInd w:val="0"/>
        <w:ind w:right="-1445"/>
        <w:jc w:val="center"/>
        <w:rPr>
          <w:rFonts w:ascii="Times-Roman" w:hAnsi="Times-Roman" w:cs="Times-Roman"/>
          <w:kern w:val="0"/>
          <w:lang w:val="ru-RU"/>
        </w:rPr>
      </w:pPr>
      <w:r>
        <w:rPr>
          <w:rFonts w:ascii="Times-Roman" w:hAnsi="Times-Roman" w:cs="Times-Roman"/>
          <w:kern w:val="0"/>
          <w:lang w:val="ru-RU"/>
        </w:rPr>
        <w:t>(</w:t>
      </w:r>
      <w:proofErr w:type="spellStart"/>
      <w:r>
        <w:rPr>
          <w:rFonts w:ascii="Times-Roman" w:hAnsi="Times-Roman" w:cs="Times-Roman"/>
          <w:kern w:val="0"/>
          <w:lang w:val="ru-RU"/>
        </w:rPr>
        <w:t>ідентифікаційний</w:t>
      </w:r>
      <w:proofErr w:type="spellEnd"/>
      <w:r>
        <w:rPr>
          <w:rFonts w:ascii="Times-Roman" w:hAnsi="Times-Roman" w:cs="Times-Roman"/>
          <w:kern w:val="0"/>
          <w:lang w:val="ru-RU"/>
        </w:rPr>
        <w:t xml:space="preserve"> код 14298457, </w:t>
      </w:r>
      <w:proofErr w:type="spellStart"/>
      <w:r>
        <w:rPr>
          <w:rFonts w:ascii="Times-Roman" w:hAnsi="Times-Roman" w:cs="Times-Roman"/>
          <w:kern w:val="0"/>
          <w:lang w:val="ru-RU"/>
        </w:rPr>
        <w:t>далі</w:t>
      </w:r>
      <w:proofErr w:type="spellEnd"/>
      <w:r>
        <w:rPr>
          <w:rFonts w:ascii="Times-Roman" w:hAnsi="Times-Roman" w:cs="Times-Roman"/>
          <w:kern w:val="0"/>
          <w:lang w:val="ru-RU"/>
        </w:rPr>
        <w:t xml:space="preserve"> – </w:t>
      </w:r>
      <w:proofErr w:type="spellStart"/>
      <w:r>
        <w:rPr>
          <w:rFonts w:ascii="Times-Roman" w:hAnsi="Times-Roman" w:cs="Times-Roman"/>
          <w:kern w:val="0"/>
          <w:lang w:val="ru-RU"/>
        </w:rPr>
        <w:t>Товариство</w:t>
      </w:r>
      <w:proofErr w:type="spellEnd"/>
      <w:r>
        <w:rPr>
          <w:rFonts w:ascii="Times-Roman" w:hAnsi="Times-Roman" w:cs="Times-Roman"/>
          <w:kern w:val="0"/>
          <w:lang w:val="ru-RU"/>
        </w:rPr>
        <w:t>)</w:t>
      </w:r>
    </w:p>
    <w:p w:rsidR="00260E33" w:rsidRDefault="00260E33" w:rsidP="00260E33">
      <w:pPr>
        <w:autoSpaceDE w:val="0"/>
        <w:autoSpaceDN w:val="0"/>
        <w:adjustRightInd w:val="0"/>
        <w:ind w:right="-1445"/>
        <w:jc w:val="center"/>
        <w:rPr>
          <w:rFonts w:ascii="Times-Roman" w:hAnsi="Times-Roman" w:cs="Times-Roman"/>
          <w:kern w:val="0"/>
          <w:sz w:val="22"/>
          <w:szCs w:val="22"/>
          <w:lang w:val="ru-RU"/>
        </w:rPr>
      </w:pPr>
    </w:p>
    <w:tbl>
      <w:tblPr>
        <w:tblW w:w="9606" w:type="dxa"/>
        <w:tblInd w:w="-118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421"/>
      </w:tblGrid>
      <w:tr w:rsidR="00260E33" w:rsidTr="00260E33">
        <w:tblPrEx>
          <w:tblCellMar>
            <w:top w:w="0" w:type="dxa"/>
            <w:bottom w:w="0" w:type="dxa"/>
          </w:tblCellMar>
        </w:tblPrEx>
        <w:tc>
          <w:tcPr>
            <w:tcW w:w="518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>
            <w:pPr>
              <w:autoSpaceDE w:val="0"/>
              <w:autoSpaceDN w:val="0"/>
              <w:adjustRightInd w:val="0"/>
              <w:ind w:right="-1445"/>
              <w:rPr>
                <w:rFonts w:ascii="Times-Roman" w:hAnsi="Times-Roman" w:cs="Times-Roman"/>
                <w:kern w:val="0"/>
                <w:sz w:val="22"/>
                <w:szCs w:val="22"/>
                <w:lang w:val="ru-RU"/>
              </w:rPr>
            </w:pPr>
            <w:r>
              <w:rPr>
                <w:rFonts w:ascii="Times-Roman" w:hAnsi="Times-Roman" w:cs="Times-Roman"/>
                <w:kern w:val="0"/>
                <w:sz w:val="22"/>
                <w:szCs w:val="22"/>
                <w:lang w:val="ru-RU"/>
              </w:rPr>
              <w:t xml:space="preserve">м. </w:t>
            </w:r>
            <w:proofErr w:type="spellStart"/>
            <w:r>
              <w:rPr>
                <w:rFonts w:ascii="Times-Roman" w:hAnsi="Times-Roman" w:cs="Times-Roman"/>
                <w:kern w:val="0"/>
                <w:sz w:val="22"/>
                <w:szCs w:val="22"/>
                <w:lang w:val="ru-RU"/>
              </w:rPr>
              <w:t>Київ</w:t>
            </w:r>
            <w:proofErr w:type="spellEnd"/>
            <w:r>
              <w:rPr>
                <w:rFonts w:ascii="Times-Roman" w:hAnsi="Times-Roman" w:cs="Times-Roman"/>
                <w:kern w:val="0"/>
                <w:sz w:val="22"/>
                <w:szCs w:val="22"/>
                <w:lang w:val="ru-RU"/>
              </w:rPr>
              <w:t xml:space="preserve">                                           </w:t>
            </w:r>
          </w:p>
        </w:tc>
        <w:tc>
          <w:tcPr>
            <w:tcW w:w="442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121"/>
              <w:jc w:val="right"/>
              <w:rPr>
                <w:rFonts w:ascii="Times-Roman" w:hAnsi="Times-Roman" w:cs="Times-Roman"/>
                <w:kern w:val="0"/>
                <w:sz w:val="22"/>
                <w:szCs w:val="22"/>
                <w:lang w:val="ru-RU"/>
              </w:rPr>
            </w:pPr>
            <w:r w:rsidRPr="00260E33">
              <w:rPr>
                <w:rFonts w:ascii="Times-Roman" w:hAnsi="Times-Roman" w:cs="Times-Roman"/>
                <w:color w:val="0070C0"/>
                <w:kern w:val="0"/>
                <w:sz w:val="22"/>
                <w:szCs w:val="22"/>
                <w:lang w:val="ru-RU"/>
              </w:rPr>
              <w:t>29.04.2025</w:t>
            </w:r>
          </w:p>
        </w:tc>
      </w:tr>
    </w:tbl>
    <w:p w:rsidR="00260E33" w:rsidRDefault="00260E33" w:rsidP="00260E33">
      <w:pPr>
        <w:autoSpaceDE w:val="0"/>
        <w:autoSpaceDN w:val="0"/>
        <w:adjustRightInd w:val="0"/>
        <w:ind w:right="-1445"/>
        <w:rPr>
          <w:rFonts w:ascii="Times-Roman" w:hAnsi="Times-Roman" w:cs="Times-Roman"/>
          <w:kern w:val="0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0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Річні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загальні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збори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далі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загальні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збори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) проведено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статті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59 Закону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України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акціонерні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» та пункту 115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Розділу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ХХ Порядку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скликання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проведення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очних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затвердженим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рішенням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Національної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комісії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цінних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паперів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та фондового ринку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02.06.2024 № 596 (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далі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– Порядок),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згідно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якими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разі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якщо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в одному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місці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зібралися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акціонери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власники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100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відсотків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, вони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мають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право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прийняти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будь-яке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рішення з питань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належать до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компетенції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до закону та/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або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 xml:space="preserve"> статуту </w:t>
      </w:r>
      <w:proofErr w:type="spellStart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0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rPr>
          <w:rFonts w:ascii="Times New Roman" w:hAnsi="Times New Roman" w:cs="Times New Roman"/>
          <w:kern w:val="0"/>
          <w:sz w:val="22"/>
          <w:szCs w:val="22"/>
          <w:lang w:val="ru-RU"/>
        </w:rPr>
      </w:pPr>
    </w:p>
    <w:tbl>
      <w:tblPr>
        <w:tblW w:w="9606" w:type="dxa"/>
        <w:tblInd w:w="-118" w:type="dxa"/>
        <w:tblBorders>
          <w:top w:val="single" w:sz="6" w:space="0" w:color="BFBFBF"/>
          <w:left w:val="single" w:sz="6" w:space="0" w:color="BFBFBF"/>
          <w:right w:val="single" w:sz="6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306"/>
      </w:tblGrid>
      <w:tr w:rsidR="00260E33" w:rsidTr="00260E33">
        <w:tblPrEx>
          <w:tblCellMar>
            <w:top w:w="0" w:type="dxa"/>
            <w:bottom w:w="0" w:type="dxa"/>
          </w:tblCellMar>
        </w:tblPrEx>
        <w:tc>
          <w:tcPr>
            <w:tcW w:w="43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загальних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30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</w:pPr>
            <w:r w:rsidRPr="00260E33">
              <w:rPr>
                <w:rFonts w:ascii="Times New Roman" w:hAnsi="Times New Roman" w:cs="Times New Roman"/>
                <w:color w:val="0070C0"/>
                <w:kern w:val="0"/>
                <w:sz w:val="22"/>
                <w:szCs w:val="22"/>
                <w:lang w:val="ru-RU"/>
              </w:rPr>
              <w:t>29.04</w:t>
            </w:r>
            <w:r w:rsidRPr="00260E33">
              <w:rPr>
                <w:rFonts w:ascii="Times New Roman" w:hAnsi="Times New Roman" w:cs="Times New Roman"/>
                <w:color w:val="0070C0"/>
                <w:kern w:val="0"/>
                <w:sz w:val="22"/>
                <w:szCs w:val="22"/>
                <w:lang w:val="ru-RU"/>
              </w:rPr>
              <w:t>.2025</w:t>
            </w:r>
          </w:p>
        </w:tc>
      </w:tr>
      <w:tr w:rsidR="00260E33" w:rsidTr="00260E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Місце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загальних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kern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30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P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val="ru-RU"/>
              </w:rPr>
            </w:pPr>
            <w:r w:rsidRPr="00260E33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260E33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ru-RU"/>
              </w:rPr>
              <w:t>Київ</w:t>
            </w:r>
            <w:proofErr w:type="spellEnd"/>
            <w:r w:rsidRPr="00260E33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260E33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ru-RU"/>
              </w:rPr>
              <w:t>вул</w:t>
            </w:r>
            <w:proofErr w:type="spellEnd"/>
            <w:r w:rsidRPr="00260E33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ru-RU"/>
              </w:rPr>
              <w:t xml:space="preserve">.  </w:t>
            </w:r>
            <w:proofErr w:type="spellStart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>вул</w:t>
            </w:r>
            <w:proofErr w:type="spellEnd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>Родини</w:t>
            </w:r>
            <w:proofErr w:type="spellEnd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>Бунге</w:t>
            </w:r>
            <w:proofErr w:type="spellEnd"/>
            <w:r w:rsidRPr="00260E33">
              <w:rPr>
                <w:rFonts w:ascii="Times-Roman" w:hAnsi="Times-Roman" w:cs="Times-Roman"/>
                <w:color w:val="000000"/>
                <w:kern w:val="0"/>
                <w:sz w:val="22"/>
                <w:szCs w:val="22"/>
                <w:lang w:val="ru-RU"/>
              </w:rPr>
              <w:t xml:space="preserve"> </w:t>
            </w:r>
            <w:r w:rsidRPr="00260E33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val="ru-RU"/>
              </w:rPr>
              <w:t>,</w:t>
            </w:r>
            <w:proofErr w:type="gramEnd"/>
            <w:r w:rsidRPr="00260E33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val="ru-RU"/>
              </w:rPr>
              <w:t xml:space="preserve"> буд. 14, 2 поверх, </w:t>
            </w:r>
            <w:proofErr w:type="spellStart"/>
            <w:r w:rsidRPr="00260E33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val="ru-RU"/>
              </w:rPr>
              <w:t>кімната</w:t>
            </w:r>
            <w:proofErr w:type="spellEnd"/>
            <w:r w:rsidRPr="00260E33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val="ru-RU"/>
              </w:rPr>
              <w:t xml:space="preserve"> 202</w:t>
            </w:r>
          </w:p>
        </w:tc>
      </w:tr>
      <w:tr w:rsidR="00260E33" w:rsidTr="00260E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Час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загальних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:</w:t>
            </w:r>
          </w:p>
        </w:tc>
        <w:tc>
          <w:tcPr>
            <w:tcW w:w="530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 10:00 до 11:00</w:t>
            </w:r>
          </w:p>
        </w:tc>
      </w:tr>
      <w:tr w:rsidR="00260E33" w:rsidTr="00260E33">
        <w:tblPrEx>
          <w:tblBorders>
            <w:top w:val="none" w:sz="0" w:space="0" w:color="auto"/>
            <w:bottom w:val="single" w:sz="6" w:space="0" w:color="BFBFBF"/>
          </w:tblBorders>
          <w:tblCellMar>
            <w:top w:w="0" w:type="dxa"/>
            <w:bottom w:w="0" w:type="dxa"/>
          </w:tblCellMar>
        </w:tblPrEx>
        <w:tc>
          <w:tcPr>
            <w:tcW w:w="43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Спосіб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загальних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:</w:t>
            </w:r>
          </w:p>
        </w:tc>
        <w:tc>
          <w:tcPr>
            <w:tcW w:w="530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очні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загальні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збори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проводяться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59 Закону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акціонерні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товариства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>Розділу</w:t>
            </w:r>
            <w:proofErr w:type="spellEnd"/>
            <w:r>
              <w:rPr>
                <w:rFonts w:ascii="Times New Roman" w:hAnsi="Times New Roman" w:cs="Times New Roman"/>
                <w:kern w:val="1"/>
                <w:sz w:val="22"/>
                <w:szCs w:val="22"/>
                <w:lang w:val="ru-RU"/>
              </w:rPr>
              <w:t xml:space="preserve"> ХХ Порядку</w:t>
            </w:r>
          </w:p>
        </w:tc>
      </w:tr>
    </w:tbl>
    <w:p w:rsidR="00260E33" w:rsidRDefault="00260E33" w:rsidP="00260E33">
      <w:pPr>
        <w:autoSpaceDE w:val="0"/>
        <w:autoSpaceDN w:val="0"/>
        <w:adjustRightInd w:val="0"/>
        <w:ind w:right="-138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кількість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включених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переліку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мають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право на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складеного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станом на 24:00 </w:t>
      </w:r>
      <w:r w:rsidRPr="00260E33">
        <w:rPr>
          <w:rFonts w:ascii="Times New Roman" w:hAnsi="Times New Roman" w:cs="Times New Roman"/>
          <w:color w:val="0070C0"/>
          <w:kern w:val="1"/>
          <w:sz w:val="22"/>
          <w:szCs w:val="22"/>
          <w:lang w:val="ru-RU"/>
        </w:rPr>
        <w:t>29.04.2025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року, становить 2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особи,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яким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належить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1 000 (одна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тисяча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штук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враховуються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визначенні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кворуму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надають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право голосу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питань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відносяться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компетенції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взяли участь: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Рахмайлов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Євген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якому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належить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800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вісімсот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штук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80%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;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Халімоненко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Володимир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якому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належить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200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штук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20%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до пункту</w:t>
      </w:r>
      <w:proofErr w:type="gram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117 Порядку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реєстраційна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лічильна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комісія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не обиралась.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Ідентифікація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учасників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визначення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належної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учасникам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підрахунок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визначення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підсумків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здійснення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повноважень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реєстраційної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лічильної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комісії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здійснювались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особами,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взяли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самостійно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підтверджується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інформацією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переліку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мають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право на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складеного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станом на </w:t>
      </w:r>
      <w:r w:rsidRPr="00260E33">
        <w:rPr>
          <w:rFonts w:ascii="Times New Roman" w:hAnsi="Times New Roman" w:cs="Times New Roman"/>
          <w:color w:val="0070C0"/>
          <w:kern w:val="1"/>
          <w:sz w:val="22"/>
          <w:szCs w:val="22"/>
          <w:lang w:val="ru-RU"/>
        </w:rPr>
        <w:t>29.04.2025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Протоколи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підсумки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реєстрації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складалися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Всього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беруть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участь 2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особи,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належить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1000 (одна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тисяча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штук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Кворум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Згідно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статтею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59 Закону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України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«Про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акціонерні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загальні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збори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мають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кворум та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можуть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прийняти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будь-яке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питань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належать до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компетенції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до закону</w:t>
      </w:r>
      <w:proofErr w:type="gram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та/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або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статуту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center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ПОРЯДОК ДЕННИЙ ЗАГАЛЬНИХ ЗБОРІВ: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Обрання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голови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секретаря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, 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його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розгляду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tabs>
          <w:tab w:val="left" w:pos="284"/>
        </w:tabs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3.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результатів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фінансово-господарської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tabs>
          <w:tab w:val="left" w:pos="426"/>
        </w:tabs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4.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порядку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розподілу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прибутку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tabs>
          <w:tab w:val="left" w:pos="426"/>
        </w:tabs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5.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способу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їх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проводилося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принципом одна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проста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– один голос,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крім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кумулятивного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усіх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питань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порядку денного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приймалося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простою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більшістю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зареєстрованих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1. З ПИТАННЯ 1-ГО ПОРЯДКУ ДЕННОГО: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Обрання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голови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секретаря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Проект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Обрати головою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Рахмайлова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Євгена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секретарем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Халімоненка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Володимира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Підсумки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"ЗА" – 1 000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"ПРОТИ"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Не брали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Прийняте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Рахмайлова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Євгена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секретарем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Халімоненка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Володимира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Васильовича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2. З ПИТАННЯ 2-ГО ПОРЯДКУ ДЕННОГО: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, 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його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розгляду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Проект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Підсумки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"ЗА" – 1 000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"ПРОТИ"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Не брали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Прийняте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lastRenderedPageBreak/>
        <w:t xml:space="preserve">3. З ПИТАННЯ 3-ГО ПОРЯДКУ ДЕННОГО: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результатів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фінансово-господарської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Проект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результати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фінансово-господарської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річну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звітність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Підсумки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"ЗА" – 1 000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"ПРОТИ"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Не брали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Прийняте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результати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фінансово-господарської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річну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фінансову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звітність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рік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4. З ПИТАННЯ 4-ГО ПОРЯДКУ ДЕННОГО: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порядку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розподілу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прибутку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Проект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Чистий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прибуток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отриманий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Товариством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році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762 063,75 грн.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розподілити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наступним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чином: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-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762 000,00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грн.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направити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на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;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-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63,</w:t>
      </w:r>
      <w:proofErr w:type="gram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75 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грн.</w:t>
      </w:r>
      <w:proofErr w:type="gram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залишити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нерозподіленими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Підсумки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"ЗА" – 1 000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"ПРОТИ"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Не брали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Прийняте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Чистий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прибуток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отриманий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Товариством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році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762 063,75 грн.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розподілити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наступним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чином: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-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762 000,00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грн.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направити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на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;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-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63,</w:t>
      </w:r>
      <w:proofErr w:type="gram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75 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грн.</w:t>
      </w:r>
      <w:proofErr w:type="gram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залишити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Roman" w:hAnsi="Times-Roman" w:cs="Times-Roman"/>
          <w:kern w:val="1"/>
          <w:sz w:val="22"/>
          <w:szCs w:val="22"/>
          <w:lang w:val="ru-RU"/>
        </w:rPr>
        <w:t>нерозподіленими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5. З ПИТАННЯ 5-ГО ПОРЯДКУ ДЕННОГО: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затвердження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способу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їх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виплати</w:t>
      </w:r>
      <w:proofErr w:type="spellEnd"/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Проект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Здійснити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акціями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 чистого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прибутку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отриманого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Товариством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році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сумі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762000,00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сімсот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шістдесят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тисячі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гривень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на 1 (одну)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сумі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762,00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сімсот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шістдесят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гривні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безпосередньо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акціонерам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 порядку</w:t>
      </w:r>
      <w:proofErr w:type="gram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встановленому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радою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lastRenderedPageBreak/>
        <w:t>Підсумки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голосування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"ЗА" – 1 000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100%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"ПРОТИ"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Не брали участь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голосуванні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- 0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що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становить 0%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від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які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зареєструвалися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участі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загальних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зборах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та є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власниками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голосуючих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іменних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акцій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Прийняте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рішення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Здійснити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простими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іменними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акціями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 чистого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прибутку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отриманого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Товариством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2024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році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сумі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762000,00</w:t>
      </w:r>
      <w:r>
        <w:rPr>
          <w:rFonts w:ascii="Times-Roman" w:hAnsi="Times-Roman" w:cs="Times-Roman"/>
          <w:kern w:val="1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сімсот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шістдесят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тисячі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гривень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розмір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дивідендів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на 1 (одну)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просту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іменну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сумі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762,00 (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сімсот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шістдесят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дві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гривні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Дивіденди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виплатити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безпосередньо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акціонерам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 порядку</w:t>
      </w:r>
      <w:proofErr w:type="gram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встановленому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Наглядовою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 xml:space="preserve"> радою </w:t>
      </w:r>
      <w:proofErr w:type="spellStart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 New Roman" w:hAnsi="Times New Roman" w:cs="Times New Roman"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-Roman" w:hAnsi="Times-Roman" w:cs="Times-Roman"/>
          <w:kern w:val="1"/>
          <w:sz w:val="22"/>
          <w:szCs w:val="22"/>
          <w:lang w:val="ru-RU"/>
        </w:rPr>
      </w:pP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Всі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питання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порядку денного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розглянуті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,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загальні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збори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акціонерів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Товариства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оголошені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закритими</w:t>
      </w:r>
      <w:proofErr w:type="spellEnd"/>
      <w:r>
        <w:rPr>
          <w:rFonts w:ascii="Times-Bold" w:hAnsi="Times-Bold" w:cs="Times-Bold"/>
          <w:b/>
          <w:bCs/>
          <w:kern w:val="1"/>
          <w:sz w:val="22"/>
          <w:szCs w:val="22"/>
          <w:lang w:val="ru-RU"/>
        </w:rPr>
        <w:t>.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center"/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  <w:t>ПІДПИСИ АКЦІОНЕРІВ (ЇХ ПРЕДСТАВНИКІВ):</w:t>
      </w:r>
    </w:p>
    <w:p w:rsidR="00260E33" w:rsidRDefault="00260E33" w:rsidP="00260E33">
      <w:pPr>
        <w:autoSpaceDE w:val="0"/>
        <w:autoSpaceDN w:val="0"/>
        <w:adjustRightInd w:val="0"/>
        <w:ind w:right="-138"/>
        <w:jc w:val="center"/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</w:pPr>
    </w:p>
    <w:p w:rsidR="00260E33" w:rsidRDefault="00260E33" w:rsidP="00260E33">
      <w:pPr>
        <w:autoSpaceDE w:val="0"/>
        <w:autoSpaceDN w:val="0"/>
        <w:adjustRightInd w:val="0"/>
        <w:ind w:right="-138"/>
        <w:jc w:val="center"/>
        <w:rPr>
          <w:rFonts w:ascii="Times New Roman" w:hAnsi="Times New Roman" w:cs="Times New Roman"/>
          <w:b/>
          <w:bCs/>
          <w:kern w:val="1"/>
          <w:sz w:val="22"/>
          <w:szCs w:val="22"/>
          <w:lang w:val="ru-RU"/>
        </w:rPr>
      </w:pPr>
    </w:p>
    <w:tbl>
      <w:tblPr>
        <w:tblW w:w="10206" w:type="dxa"/>
        <w:tblInd w:w="-118" w:type="dxa"/>
        <w:tblBorders>
          <w:top w:val="single" w:sz="6" w:space="0" w:color="BFBFBF"/>
          <w:left w:val="single" w:sz="6" w:space="0" w:color="BFBFBF"/>
          <w:right w:val="single" w:sz="6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260E33">
        <w:tblPrEx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b/>
                <w:bCs/>
                <w:kern w:val="1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Рахмайлов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Євген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Васильович</w:t>
            </w:r>
            <w:proofErr w:type="spellEnd"/>
          </w:p>
        </w:tc>
        <w:tc>
          <w:tcPr>
            <w:tcW w:w="2976" w:type="dxa"/>
            <w:tcBorders>
              <w:top w:val="single" w:sz="8" w:space="0" w:color="BFBFBF"/>
              <w:left w:val="single" w:sz="8" w:space="0" w:color="BFBFBF"/>
              <w:bottom w:val="single" w:sz="6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kern w:val="1"/>
                <w:lang w:val="ru-RU"/>
              </w:rPr>
            </w:pPr>
          </w:p>
        </w:tc>
      </w:tr>
      <w:tr w:rsidR="00260E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b/>
                <w:bCs/>
                <w:kern w:val="1"/>
                <w:lang w:val="ru-RU"/>
              </w:rPr>
            </w:pPr>
          </w:p>
        </w:tc>
        <w:tc>
          <w:tcPr>
            <w:tcW w:w="29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)</w:t>
            </w:r>
          </w:p>
        </w:tc>
      </w:tr>
      <w:tr w:rsidR="00260E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b/>
                <w:bCs/>
                <w:kern w:val="1"/>
                <w:lang w:val="ru-RU"/>
              </w:rPr>
            </w:pPr>
          </w:p>
        </w:tc>
        <w:tc>
          <w:tcPr>
            <w:tcW w:w="29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</w:pPr>
          </w:p>
        </w:tc>
      </w:tr>
      <w:tr w:rsidR="00260E3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jc w:val="both"/>
              <w:rPr>
                <w:rFonts w:ascii="Times New Roman" w:hAnsi="Times New Roman" w:cs="Times New Roman"/>
                <w:b/>
                <w:bCs/>
                <w:kern w:val="1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Халімоненко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Володимир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sz w:val="22"/>
                <w:szCs w:val="22"/>
                <w:lang w:val="ru-RU"/>
              </w:rPr>
              <w:t>Васильович</w:t>
            </w:r>
            <w:proofErr w:type="spellEnd"/>
          </w:p>
        </w:tc>
        <w:tc>
          <w:tcPr>
            <w:tcW w:w="297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</w:pPr>
          </w:p>
        </w:tc>
      </w:tr>
      <w:tr w:rsidR="00260E33">
        <w:tblPrEx>
          <w:tblBorders>
            <w:top w:val="none" w:sz="0" w:space="0" w:color="auto"/>
            <w:bottom w:val="single" w:sz="6" w:space="0" w:color="BFBFBF"/>
          </w:tblBorders>
          <w:tblCellMar>
            <w:top w:w="0" w:type="dxa"/>
            <w:bottom w:w="0" w:type="dxa"/>
          </w:tblCellMar>
        </w:tblPrEx>
        <w:tc>
          <w:tcPr>
            <w:tcW w:w="72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rPr>
                <w:rFonts w:ascii="Times New Roman" w:hAnsi="Times New Roman" w:cs="Times New Roman"/>
                <w:b/>
                <w:bCs/>
                <w:kern w:val="1"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260E33" w:rsidRDefault="00260E33" w:rsidP="00260E33">
            <w:pPr>
              <w:autoSpaceDE w:val="0"/>
              <w:autoSpaceDN w:val="0"/>
              <w:adjustRightInd w:val="0"/>
              <w:ind w:right="-138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kern w:val="1"/>
                <w:sz w:val="16"/>
                <w:szCs w:val="16"/>
                <w:lang w:val="ru-RU"/>
              </w:rPr>
              <w:t>)</w:t>
            </w:r>
          </w:p>
        </w:tc>
      </w:tr>
    </w:tbl>
    <w:p w:rsidR="00260E33" w:rsidRDefault="00260E33" w:rsidP="00260E33">
      <w:pPr>
        <w:autoSpaceDE w:val="0"/>
        <w:autoSpaceDN w:val="0"/>
        <w:adjustRightInd w:val="0"/>
        <w:ind w:right="-138"/>
        <w:jc w:val="both"/>
        <w:rPr>
          <w:rFonts w:ascii="Times New Roman" w:hAnsi="Times New Roman" w:cs="Times New Roman"/>
          <w:kern w:val="1"/>
          <w:sz w:val="22"/>
          <w:szCs w:val="22"/>
          <w:lang w:val="ru-RU"/>
        </w:rPr>
      </w:pPr>
    </w:p>
    <w:p w:rsidR="007F73A4" w:rsidRDefault="007F73A4" w:rsidP="00260E33">
      <w:pPr>
        <w:ind w:right="-138"/>
      </w:pPr>
    </w:p>
    <w:sectPr w:rsidR="007F73A4" w:rsidSect="0091447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33"/>
    <w:rsid w:val="00260E33"/>
    <w:rsid w:val="007F73A4"/>
    <w:rsid w:val="00ED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FE44C"/>
  <w15:chartTrackingRefBased/>
  <w15:docId w15:val="{76D3C102-AA89-4941-982A-D9DDDC84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Liubov Bartashchuk</dc:creator>
  <cp:keywords/>
  <dc:description/>
  <cp:lastModifiedBy>Liubov Bartashchuk</cp:lastModifiedBy>
  <cp:revision>1</cp:revision>
  <dcterms:created xsi:type="dcterms:W3CDTF">2025-05-15T08:04:00Z</dcterms:created>
  <dcterms:modified xsi:type="dcterms:W3CDTF">2025-05-15T08:08:00Z</dcterms:modified>
</cp:coreProperties>
</file>